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Toc22628"/>
      <w:bookmarkStart w:id="1" w:name="_Toc19108"/>
      <w:bookmarkStart w:id="2" w:name="_Toc14244"/>
      <w:bookmarkStart w:id="3" w:name="_Toc22520"/>
      <w:bookmarkStart w:id="4" w:name="_Toc11462"/>
      <w:bookmarkStart w:id="5" w:name="_Toc32500"/>
      <w:bookmarkStart w:id="6" w:name="_Toc28017"/>
      <w:bookmarkStart w:id="7" w:name="_Toc9229"/>
      <w:bookmarkStart w:id="8" w:name="_Toc20229"/>
      <w:bookmarkStart w:id="9" w:name="_Toc11310"/>
      <w:bookmarkStart w:id="10" w:name="_Toc11658"/>
      <w:bookmarkStart w:id="11" w:name="_Toc30525"/>
      <w:bookmarkStart w:id="12" w:name="_Toc15717"/>
      <w:bookmarkStart w:id="13" w:name="_Toc1927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夯实“小支点” 撬动“大格局”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312" w:lineRule="auto"/>
        <w:jc w:val="center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天津致远轨道交通运营有限公司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Start w:id="14" w:name="_Toc964"/>
      <w:bookmarkStart w:id="15" w:name="_Toc9163"/>
      <w:bookmarkStart w:id="16" w:name="_Toc18947"/>
      <w:bookmarkStart w:id="17" w:name="_Toc29820"/>
      <w:bookmarkStart w:id="18" w:name="_Toc23063"/>
      <w:bookmarkStart w:id="19" w:name="_Toc17205"/>
      <w:bookmarkStart w:id="20" w:name="_Toc30471"/>
      <w:bookmarkStart w:id="21" w:name="_Toc24368"/>
      <w:bookmarkStart w:id="22" w:name="_Toc8382"/>
      <w:bookmarkStart w:id="23" w:name="_Toc4688"/>
      <w:bookmarkStart w:id="24" w:name="_Toc22646"/>
      <w:bookmarkStart w:id="25" w:name="_Toc18284"/>
      <w:bookmarkStart w:id="26" w:name="_Toc27085"/>
      <w:bookmarkStart w:id="27" w:name="_Toc26965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天津站站区管理部党支部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8" w:name="_Toc3403"/>
      <w:bookmarkStart w:id="29" w:name="_Toc8273"/>
      <w:bookmarkStart w:id="30" w:name="_Toc6648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内容提要</w:t>
      </w:r>
      <w:bookmarkEnd w:id="28"/>
      <w:bookmarkEnd w:id="29"/>
      <w:bookmarkEnd w:id="3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：</w:t>
      </w:r>
      <w:bookmarkStart w:id="31" w:name="_Toc2171"/>
      <w:bookmarkStart w:id="32" w:name="_Toc7246"/>
      <w:bookmarkStart w:id="33" w:name="_Toc1077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作为大型综合交通枢纽站，地铁天津站不仅是提供高效便捷交通服务的重要场所，更是展示城市形象和服务水平的重要窗口。天津站站区管理部党支部（以下简称：支部）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始终牢记习近平总书记关于国企党建重要讲话精神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积极探索持续加强党建工作的新思路新举措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将支部品牌建设作为强化党建引领的重要抓手，通过打造“红色津门”党建品牌，将党建工作与地铁运营管理深度融合，不断提升服务质量和水平，为塑造城市形象、传播地铁文化、强化党的政治引领做出积极贡献。</w:t>
      </w:r>
      <w:bookmarkEnd w:id="31"/>
      <w:bookmarkEnd w:id="32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品牌名称：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“红色津门”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创建单位：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天津致远轨道交通运营有限公司天津站站区管理部党支部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34" w:name="_Toc5935"/>
      <w:bookmarkStart w:id="35" w:name="_Toc1624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创建背景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天津站所辖范围为天津站后广场负一层至负四层，总建筑面积 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万平方米，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是天津轨道交通线网唯一一座三线换乘车站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车站同时与铁路、公交、长途客运、出租车等多种交通方式相连，形成一座大型综合交通枢纽站，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日均</w:t>
      </w:r>
      <w:r>
        <w:rPr>
          <w:rFonts w:hint="eastAsia" w:ascii="仿宋_GB2312" w:hAnsi="仿宋_GB2312" w:eastAsia="仿宋_GB2312" w:cs="仿宋_GB2312"/>
          <w:sz w:val="32"/>
          <w:szCs w:val="32"/>
        </w:rPr>
        <w:t>客流量高达30万人次。在这里，人流的汇聚不仅意味着交通的繁忙，也意味着信息的交汇和文化的融合。地铁天津站不仅要提供高效便捷的交通服务，更要成为展示城市形象和服务水平的重要窗口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始终牢记习近平总书记关于国企党建重要讲话精神，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积极探索持续加强党建工作的新思路新举措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充分发挥支部战斗堡垒和党员先锋模范带头作用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队伍的战斗力、凝聚力、创造力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“红色津门”党建品牌，将党建工作与地铁运营管理紧密结合，提升服务质量和水平，为乘客提供更加安全、便捷、舒适的出行体验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二、品牌标识</w:t>
      </w: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262890</wp:posOffset>
            </wp:positionV>
            <wp:extent cx="1524000" cy="1473200"/>
            <wp:effectExtent l="0" t="0" r="0" b="12700"/>
            <wp:wrapTight wrapText="bothSides">
              <wp:wrapPolygon>
                <wp:start x="0" y="0"/>
                <wp:lineTo x="0" y="21228"/>
                <wp:lineTo x="21330" y="21228"/>
                <wp:lineTo x="21330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品牌标识以红色作为主色调，不仅彰显了中国共产党的“红色精神”，更寓意着支部党员对光明、凝聚力量和引领未来的坚定信念。“红色津门”中的“红色”代表着“红色基因”的传承，是对老一辈革命家和党员的崇高敬意，激励着我们这代人继续发扬党的优良传统，不忘初心，牢记使命。而“津门”二字，不仅是对天津站历史的致敬，更是对支部党员守好天津东大门，做好服务乘客的期待和要求。支部通过红色队伍、红色服务、红色品牌、红色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四个核心工程来打造独具特色的党建模式，扎实做好党建与各项工作的深度融合。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三、品牌理念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“红色津门”党建品牌以车站运营为主责主业来取材，切实发挥党建品牌功能效应，把党建优势转化为工作优势，把党建资源转化为工作资源，以党建为示范，以品牌为引领，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党建工作的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路和策略，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推动党建工作与车站运营工作同频共振，助推企业高质量发展。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bookmarkEnd w:id="35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实施路径</w:t>
      </w:r>
    </w:p>
    <w:p>
      <w:pPr>
        <w:pStyle w:val="13"/>
        <w:keepNext w:val="0"/>
        <w:keepLines w:val="0"/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36" w:name="_Toc2431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锻造红色队伍工程 护航车站运营安全</w:t>
      </w:r>
      <w:bookmarkEnd w:id="36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在“红色津门”党建品牌实践活动中，支部始终强化政治引领，教育党员干部深刻把握“两个确立”，坚决做到“两个维护”，积极组织开展多元化的党建主题活动和实践活动，定期组织党员干部开展主题党日、党员学习交流、志愿服务等活动，来加强党员的党性修养，增强党组织的凝聚力和战斗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支部还勇担时代重任，深入车站运营的每一个环节，以精准的分析和务实的举措，解决运营中的重点、难点问题，通过谈心谈话、走访调研、组织座谈等多种形式，密切联系群众，深入了解员工思想动态，积极听取并采纳党员、群众对工作的意见和建议，有效建立反馈机制，以推动车站运营的持续优化。支部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在2023年根据党员、群众意见，创新提出了“10543”安全生产管理模式。即“1”是紧紧围绕守住“三线”确保安全生产为一个中心；“0”是以“安全零事故”为目标；“5”是在日常工作中通过防火巡查、房间排查，钥匙梳理、消防疏散、设备操作五种管理措施；“4”重点关注季节交替期、车站变动期、重大活动期和节假日期四个重要时期；“3”是从应急联动、理论实操培训、应急演练三个方面全面进行安全管控。该模式的实施，使站区管理水平得到了显著提升。人员作业更加遵章守序，设备设施管控更加有力，物资管理更加科学规范，制度落实不折不扣，作业环境更加标准和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通过红色队伍工程建设，支部成功地培育出了一支素质高、作风硬、业务强的红色队伍。这支队伍不仅信念坚定、使命感强烈，还拥有扎实的专业技能，能够从容应对车站运营中的各种挑战，成为党建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品牌的坚实后盾和力量源泉。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38735</wp:posOffset>
            </wp:positionV>
            <wp:extent cx="3307080" cy="2090420"/>
            <wp:effectExtent l="0" t="0" r="7620" b="5080"/>
            <wp:wrapTopAndBottom/>
            <wp:docPr id="2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37" w:name="_Toc28693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开展红色服务工程 优化乘客出行体验</w:t>
      </w:r>
      <w:bookmarkEnd w:id="37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支部将党建与乘客出行体验紧密结合，以实际行动诠释了党建引领下的服务创新。在地铁天津站，党建工作不是空洞的口号，而是转化为实实在在的行动。我们依托党建创新，将服务群众作为基层党建工作的核心，不断深化便民服务举措：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结合天津站建筑面积大、结构复杂、人流量大，换乘时找路难的问题，站内外增设公交指引图、柱贴、墙贴、地贴等不同形式标识共计225 处，更新标识22处。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调整了5号安检点位位置，设置专人为携带儿童、大件行李的乘客打开地黉门，进行出行指引和帮扶工作，与“彩虹岗”“津门岗”以及南4出口的服务岗形成联动，解决乘客出行难题。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联合枢纽机电维修室将2、9号线共用站台近端的电扶梯进行方向调整，为乘客节省宝贵的时间。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在北广场下沉广场区域增设彩虹行李坡道，方便携带大件行李的乘客出行。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在南广场A区无障碍电梯平台处增设护栏，把B区无障碍电梯平台改为坡道，优化客流组织动线，有效改善通道狭窄的客观结构条件，降低乘客摔伤率。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在各大考试节点期间设立“津彩爱心助考服务点”，为考生提供暖心服务包、饮用热水、姜糖水、充电宝、寄存行李、“一站式”爱心接送等便民服务。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以党员为核心力量，成立“雷锋服务队”，为老弱病残孕、携带大件行李等有需要的乘客“搭把手”。</w:t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八是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推出“爱心摆渡车”，为乘客出行提供便捷服务。这样的创新服务举措还有很多，红色服务工程的开展，不仅提升了乘客的出行体验，也增强了党员干部之间的沟通协作能力，进一步增强了支部成员的成就感和归属感，从而有效提升支部的凝聚力和战斗力。</w:t>
      </w:r>
      <w:bookmarkStart w:id="38" w:name="_Toc17474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打造红色品牌工程 展现“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津彩服务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”窗口风貌</w:t>
      </w:r>
      <w:bookmarkEnd w:id="38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推动红色品牌工程的建设，展现“津彩服务”窗口的独特风采，这是支部深化党建与服务相结合的又一重要举措。支部坚守“快捷无忧，贴心相伴”的初衷，坚持以乘客需求为指引，将“红色津门”党建品牌和“津彩服务”特色服务品牌有机融合，形成独特的车站文化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为了充分发挥党员的先锋模范作用，推动党建工作在地铁业务中的深入开展，支部将“彩虹岗”打造为党员示范岗。在这里，党员的责任感和使命感得到了有效激发，参与党建工作的积极性和主动性显著提高。通过党员示范岗的模范引领，周围员工对党建工作的认识和参与度也得到了提升，这不仅推动了地铁天津站党建工作的深入开展，也为地铁业务的发展提供了有力支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934085</wp:posOffset>
            </wp:positionH>
            <wp:positionV relativeFrom="paragraph">
              <wp:posOffset>3131820</wp:posOffset>
            </wp:positionV>
            <wp:extent cx="3294380" cy="2197100"/>
            <wp:effectExtent l="0" t="0" r="1270" b="12700"/>
            <wp:wrapTopAndBottom/>
            <wp:docPr id="1" name="图片 1" descr="mmexport17105090039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1050900398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同时，支部高度重视宣传工作。我们充分利用地铁微信公众号、微博公众号和抖音公众号等网络平台，定期发表好人好事、分享品牌创建成果，及时传播品牌的核心价值与理念，有效提升了品牌的影响力。我们在线下还组织了一系列丰富多彩的主题活动，如特色主题党日、志愿服务、文化展览、文艺演出等，邀请乘客参与其中，不仅丰富了乘客的出行体验，也让他们更直观地感受“红色津门”党建品牌的内涵与价值，进一步提升品牌的影响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bookmarkStart w:id="39" w:name="_Toc2799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（四）搭建红色平台工程 携手多方共建联动</w:t>
      </w:r>
      <w:bookmarkEnd w:id="39"/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搭建红色平台工程，携手多方共建联动，是地铁天津站党建工作的重要一环。支部积极贯彻落实轨道交通“三新”“三量”工作要求，以安全运营为着力点，以创新优质服务、吸引客流为突破点，开展“六进三送”活动，通过大力推进轨道交通出行文化宣传，提高车站品牌知名度。同时，天津站站区管理部党支部创新打造了“红色津门服务课堂”，与多所学校、社区、企业开展共建活动，普及地铁安全乘车、文明出行以及各类优惠政策等知识，让红色服务课堂真正扎根基层，深入人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为进一步提升乘客的出行体验，支部打破管理分界壁垒，与天津站站区办、铁路、公交、长途客运站等单位共同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推出“公共交通服务联盟”举措。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推出“爱心接力”“爱心通道”“暖心预约”以及遗失物信息共享等特色服务，确保乘客在地铁天津站能够享受到全方位、多元化、一站式的服务体验。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此外，支部依托天津站志愿服务平台，进一步扩大联动单位范围，与天津市公安局公共交通治安分局、河东区卫生健康委员会、天津市梅江强制隔离戒毒所、天津交通职业学院等多家单位达成共识，共同开展志愿服务、公益实践、文明倡导等活动，用实际行动践行志愿服务精神，传递社会正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五、实施效果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 xml:space="preserve">    “红色津门”党建品牌的建设，为天津站的发展注入了强大的动力。在党建的引领下，乘客的满意度大幅提高，车站的品牌形象也得到了进一步提升，成为了展示天津城市形象的重要窗口。</w:t>
      </w:r>
    </w:p>
    <w:p>
      <w:pPr>
        <w:numPr>
          <w:ilvl w:val="0"/>
          <w:numId w:val="0"/>
        </w:numPr>
        <w:spacing w:line="30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党建引领，塑造车站新风貌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地铁天津站坚持以党建为舵，为车站发展指明了方向。“红色津门”党建品牌的树立，让车站管理始终坚持以人民为中心，乘客需求和满意度成为工作的重中之重。党建引领使车站服务意识、安全意识和创新意识全面提升，车站风貌焕然一新。同时，党建的领航作用，也为车站的稳健前行提供了坚实保障。党员队伍经过精心培育，政治素质过硬、业务能力突出、作风严谨优良，他们在车站的运营管理中发挥着标杆作用，引领车站全体员工向着更高的目标迈进。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党建与业务融合，充分发挥战斗堡垒作用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 xml:space="preserve">    在实施“红色津门”党建品牌建设过程中，支部注重将党建与车站运营深度融合。一方面，将党建工作纳入车站的日常管理，确保两者同频共振；另一方面，开展丰富多彩的党建活动，使党建更贴近实际、贴近民生。通过党建与车站运营的深度融合，支部充分发挥党建的战斗堡垒作用，党员积极参与车站的改进和创新工作，为车站的发展贡献智慧和力量。在面临突发事件或紧急情况时，党员能够迅速响应、冲锋在前，“党员突击队”作用发挥显著，保障车站的安全稳定。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32"/>
          <w:sz w:val="32"/>
          <w:szCs w:val="32"/>
          <w:lang w:val="en-US" w:eastAsia="zh-CN" w:bidi="ar-SA"/>
        </w:rPr>
        <w:t>在“红色津门”党建品牌的引领和全体员工的共同努力下，地铁天津站的品牌建设取得了显著成效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地铁天津站曾荣获“第二十一届全国青年文明号”、全国“第二届交通运输优秀文化品牌”“天津市优秀青年志愿集体”等多项国家级、市级荣誉称号。这些荣誉不仅是对支部工作的肯定，也是对支部未来工作的激励和鞭策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219710</wp:posOffset>
            </wp:positionV>
            <wp:extent cx="4566285" cy="2085340"/>
            <wp:effectExtent l="0" t="0" r="5715" b="10160"/>
            <wp:wrapTopAndBottom/>
            <wp:docPr id="9" name="图片 9" descr="IMG_20240325_091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25_09120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按照习近平总书记在天津讲话提到的</w:t>
      </w: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“四个善作善成”重要工作指示，支部将秉持更加奋发的精神状态、采取更加务实高效的工作举措，深化党建品牌建设，持续优化“红色津门”品牌功能，以提升群众地铁出行的</w:t>
      </w:r>
      <w:bookmarkStart w:id="40" w:name="_GoBack"/>
      <w:bookmarkEnd w:id="40"/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highlight w:val="none"/>
          <w:lang w:val="en-US" w:eastAsia="zh-CN" w:bidi="ar-SA"/>
        </w:rPr>
        <w:t>“幸福指数”为己任，推动天津轨道交通“三量”工作实现高质量发展。同时，我们还将积极推动京津冀交通一体化进程，为构建和谐交通、推动社会发展赋能添力。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案例研究组成员：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柏玲、刘娜、张莉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E86D65-956C-4E19-9DED-B994AA7CAF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06672C-5D00-4170-8B00-DAB02CB8E4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18B062-0F43-4D52-BEE4-FB71AF42A0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A9BE3F-0496-43A4-B4A6-7F4171B90BE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990D7F4-54F6-4F43-BB0D-0419C18FFF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666A3"/>
    <w:multiLevelType w:val="multilevel"/>
    <w:tmpl w:val="8B0666A3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1134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ODBlMmNjYTdkYTYzMjU3NmM2YjIzMjQyZDQ2ZmEifQ=="/>
  </w:docVars>
  <w:rsids>
    <w:rsidRoot w:val="2E094834"/>
    <w:rsid w:val="0005126B"/>
    <w:rsid w:val="00825154"/>
    <w:rsid w:val="00977B14"/>
    <w:rsid w:val="011253ED"/>
    <w:rsid w:val="01AA7D1B"/>
    <w:rsid w:val="01AE15BA"/>
    <w:rsid w:val="01C62F7E"/>
    <w:rsid w:val="027A7109"/>
    <w:rsid w:val="02E1151B"/>
    <w:rsid w:val="02F756E0"/>
    <w:rsid w:val="04253689"/>
    <w:rsid w:val="045D5067"/>
    <w:rsid w:val="052E656D"/>
    <w:rsid w:val="05B66C8F"/>
    <w:rsid w:val="0633507D"/>
    <w:rsid w:val="067803E8"/>
    <w:rsid w:val="070752C8"/>
    <w:rsid w:val="086A5B0F"/>
    <w:rsid w:val="09153DF2"/>
    <w:rsid w:val="093A1985"/>
    <w:rsid w:val="094F2FDA"/>
    <w:rsid w:val="09523172"/>
    <w:rsid w:val="0972111F"/>
    <w:rsid w:val="098350DA"/>
    <w:rsid w:val="09BF1E8A"/>
    <w:rsid w:val="0A8B254C"/>
    <w:rsid w:val="0BDE4F00"/>
    <w:rsid w:val="0CB37C11"/>
    <w:rsid w:val="0D240982"/>
    <w:rsid w:val="0E3A73D7"/>
    <w:rsid w:val="0E417312"/>
    <w:rsid w:val="0E6059EA"/>
    <w:rsid w:val="0EEC3721"/>
    <w:rsid w:val="10BD6D86"/>
    <w:rsid w:val="10CF32D1"/>
    <w:rsid w:val="11072A94"/>
    <w:rsid w:val="11427949"/>
    <w:rsid w:val="1155307D"/>
    <w:rsid w:val="11A16A45"/>
    <w:rsid w:val="12650EBC"/>
    <w:rsid w:val="12E00C9B"/>
    <w:rsid w:val="12E56E05"/>
    <w:rsid w:val="13113756"/>
    <w:rsid w:val="13DA3BD8"/>
    <w:rsid w:val="14643D5A"/>
    <w:rsid w:val="15353C26"/>
    <w:rsid w:val="15466194"/>
    <w:rsid w:val="1563166D"/>
    <w:rsid w:val="15997A33"/>
    <w:rsid w:val="16105F47"/>
    <w:rsid w:val="16C64858"/>
    <w:rsid w:val="19263CD4"/>
    <w:rsid w:val="1A4F5BA4"/>
    <w:rsid w:val="1A8E7D82"/>
    <w:rsid w:val="1A9A2283"/>
    <w:rsid w:val="1AA300F0"/>
    <w:rsid w:val="1AFC6A9A"/>
    <w:rsid w:val="1AFD4371"/>
    <w:rsid w:val="1B157B5C"/>
    <w:rsid w:val="1B2F50C2"/>
    <w:rsid w:val="1B340538"/>
    <w:rsid w:val="1B612DA1"/>
    <w:rsid w:val="1B886580"/>
    <w:rsid w:val="1B8A054A"/>
    <w:rsid w:val="1BBE6E91"/>
    <w:rsid w:val="1C450915"/>
    <w:rsid w:val="1C4A1862"/>
    <w:rsid w:val="1CDC675B"/>
    <w:rsid w:val="1DEA4FC8"/>
    <w:rsid w:val="1E0C0B57"/>
    <w:rsid w:val="1E3E561C"/>
    <w:rsid w:val="1EB07C72"/>
    <w:rsid w:val="1F1B66D5"/>
    <w:rsid w:val="1F2E2F00"/>
    <w:rsid w:val="1F7B3580"/>
    <w:rsid w:val="1FD04999"/>
    <w:rsid w:val="20250841"/>
    <w:rsid w:val="208A4B48"/>
    <w:rsid w:val="20A756FA"/>
    <w:rsid w:val="20EF154A"/>
    <w:rsid w:val="20F8421E"/>
    <w:rsid w:val="21657C15"/>
    <w:rsid w:val="21821CC3"/>
    <w:rsid w:val="218E68BA"/>
    <w:rsid w:val="21E32762"/>
    <w:rsid w:val="21F9232D"/>
    <w:rsid w:val="21FC3824"/>
    <w:rsid w:val="22607D25"/>
    <w:rsid w:val="229D5007"/>
    <w:rsid w:val="23C97A8F"/>
    <w:rsid w:val="23E45DF0"/>
    <w:rsid w:val="243766B8"/>
    <w:rsid w:val="244016C1"/>
    <w:rsid w:val="24B108F5"/>
    <w:rsid w:val="2500187D"/>
    <w:rsid w:val="250F7D12"/>
    <w:rsid w:val="26851D83"/>
    <w:rsid w:val="26A06E73"/>
    <w:rsid w:val="26CC7C68"/>
    <w:rsid w:val="286C3BB0"/>
    <w:rsid w:val="28EB582E"/>
    <w:rsid w:val="293E2974"/>
    <w:rsid w:val="2B011EAB"/>
    <w:rsid w:val="2C6D10EF"/>
    <w:rsid w:val="2CA84CD4"/>
    <w:rsid w:val="2DB66F7C"/>
    <w:rsid w:val="2E094834"/>
    <w:rsid w:val="2E516D26"/>
    <w:rsid w:val="2F0D69FD"/>
    <w:rsid w:val="2F285AC5"/>
    <w:rsid w:val="30586276"/>
    <w:rsid w:val="31813D45"/>
    <w:rsid w:val="31E12AF5"/>
    <w:rsid w:val="32466DB9"/>
    <w:rsid w:val="330474FB"/>
    <w:rsid w:val="33857B1D"/>
    <w:rsid w:val="33BF4341"/>
    <w:rsid w:val="34CC2750"/>
    <w:rsid w:val="35613728"/>
    <w:rsid w:val="36483084"/>
    <w:rsid w:val="36716136"/>
    <w:rsid w:val="367B0D63"/>
    <w:rsid w:val="36AA789A"/>
    <w:rsid w:val="379A346B"/>
    <w:rsid w:val="38526C48"/>
    <w:rsid w:val="38912AC0"/>
    <w:rsid w:val="392E2183"/>
    <w:rsid w:val="396A73B1"/>
    <w:rsid w:val="3A331955"/>
    <w:rsid w:val="3A543DA5"/>
    <w:rsid w:val="3B7F24AA"/>
    <w:rsid w:val="3C153A08"/>
    <w:rsid w:val="3C6504EB"/>
    <w:rsid w:val="3D09356D"/>
    <w:rsid w:val="3D9077EA"/>
    <w:rsid w:val="3DA037A5"/>
    <w:rsid w:val="3E111FAD"/>
    <w:rsid w:val="3EAC618D"/>
    <w:rsid w:val="3F2006FA"/>
    <w:rsid w:val="3FC24DE8"/>
    <w:rsid w:val="3FF6063C"/>
    <w:rsid w:val="400F6201"/>
    <w:rsid w:val="41E82AB1"/>
    <w:rsid w:val="425D1C65"/>
    <w:rsid w:val="42613503"/>
    <w:rsid w:val="43525542"/>
    <w:rsid w:val="43F108B7"/>
    <w:rsid w:val="44254A04"/>
    <w:rsid w:val="44891EC3"/>
    <w:rsid w:val="454669E0"/>
    <w:rsid w:val="454E4597"/>
    <w:rsid w:val="457277D5"/>
    <w:rsid w:val="45B934DB"/>
    <w:rsid w:val="46B81B60"/>
    <w:rsid w:val="474F1EAA"/>
    <w:rsid w:val="476475F1"/>
    <w:rsid w:val="476A237A"/>
    <w:rsid w:val="47B83CC4"/>
    <w:rsid w:val="47D74267"/>
    <w:rsid w:val="48362D3C"/>
    <w:rsid w:val="484E4529"/>
    <w:rsid w:val="48A50654"/>
    <w:rsid w:val="499F65C7"/>
    <w:rsid w:val="49E3281D"/>
    <w:rsid w:val="4A895B8F"/>
    <w:rsid w:val="4AC63884"/>
    <w:rsid w:val="4ACB00B3"/>
    <w:rsid w:val="4B1751BF"/>
    <w:rsid w:val="4B475260"/>
    <w:rsid w:val="4B5D2CD5"/>
    <w:rsid w:val="4BDE7972"/>
    <w:rsid w:val="4BF57ABC"/>
    <w:rsid w:val="4C207F8B"/>
    <w:rsid w:val="4C6C7D2E"/>
    <w:rsid w:val="4CE51F37"/>
    <w:rsid w:val="4D3F64C9"/>
    <w:rsid w:val="4D6D0A6B"/>
    <w:rsid w:val="4E0452F6"/>
    <w:rsid w:val="4E4F3CF7"/>
    <w:rsid w:val="4ED4505D"/>
    <w:rsid w:val="4EDB288F"/>
    <w:rsid w:val="4F5368C9"/>
    <w:rsid w:val="50355FCF"/>
    <w:rsid w:val="52036385"/>
    <w:rsid w:val="522272BA"/>
    <w:rsid w:val="523C37A2"/>
    <w:rsid w:val="52505342"/>
    <w:rsid w:val="526B0E22"/>
    <w:rsid w:val="53536E98"/>
    <w:rsid w:val="54260108"/>
    <w:rsid w:val="55B55BE8"/>
    <w:rsid w:val="55F21D17"/>
    <w:rsid w:val="55F6014E"/>
    <w:rsid w:val="56DF55BD"/>
    <w:rsid w:val="580B5F93"/>
    <w:rsid w:val="583B2F86"/>
    <w:rsid w:val="5866141B"/>
    <w:rsid w:val="58FE78A6"/>
    <w:rsid w:val="59123351"/>
    <w:rsid w:val="5938439E"/>
    <w:rsid w:val="59554FEC"/>
    <w:rsid w:val="5A074878"/>
    <w:rsid w:val="5A5B4884"/>
    <w:rsid w:val="5B2F3158"/>
    <w:rsid w:val="5B5137E3"/>
    <w:rsid w:val="5BB73987"/>
    <w:rsid w:val="5DDD008C"/>
    <w:rsid w:val="5DE7474A"/>
    <w:rsid w:val="5DEC4171"/>
    <w:rsid w:val="5E2A6A47"/>
    <w:rsid w:val="5EDD61AF"/>
    <w:rsid w:val="5EE4045B"/>
    <w:rsid w:val="5F27742B"/>
    <w:rsid w:val="60BD08E8"/>
    <w:rsid w:val="61450110"/>
    <w:rsid w:val="622F6D22"/>
    <w:rsid w:val="633B16F7"/>
    <w:rsid w:val="637864A7"/>
    <w:rsid w:val="63DF6526"/>
    <w:rsid w:val="640B2E77"/>
    <w:rsid w:val="64751073"/>
    <w:rsid w:val="64E5191A"/>
    <w:rsid w:val="651D7306"/>
    <w:rsid w:val="65371855"/>
    <w:rsid w:val="657D1B52"/>
    <w:rsid w:val="665F74AA"/>
    <w:rsid w:val="66A870A3"/>
    <w:rsid w:val="672C1A82"/>
    <w:rsid w:val="6740552D"/>
    <w:rsid w:val="67593B14"/>
    <w:rsid w:val="68094ABE"/>
    <w:rsid w:val="684A6664"/>
    <w:rsid w:val="68D9369F"/>
    <w:rsid w:val="6A1D1C45"/>
    <w:rsid w:val="6B5D66AE"/>
    <w:rsid w:val="6B715CB5"/>
    <w:rsid w:val="6B8A1957"/>
    <w:rsid w:val="6BD526E8"/>
    <w:rsid w:val="6C0134DD"/>
    <w:rsid w:val="6CEF31A0"/>
    <w:rsid w:val="6E5B49FB"/>
    <w:rsid w:val="6E5C0E9F"/>
    <w:rsid w:val="6E764D7C"/>
    <w:rsid w:val="6ED924EF"/>
    <w:rsid w:val="6F0155A2"/>
    <w:rsid w:val="6F23376B"/>
    <w:rsid w:val="6F7B5355"/>
    <w:rsid w:val="70DA0AA6"/>
    <w:rsid w:val="70E60EF4"/>
    <w:rsid w:val="718F3339"/>
    <w:rsid w:val="71A462ED"/>
    <w:rsid w:val="724573D2"/>
    <w:rsid w:val="733C304D"/>
    <w:rsid w:val="736D1E7A"/>
    <w:rsid w:val="73AD3F4B"/>
    <w:rsid w:val="73D47918"/>
    <w:rsid w:val="73DB321C"/>
    <w:rsid w:val="743D52CE"/>
    <w:rsid w:val="747300F6"/>
    <w:rsid w:val="74BA5EF5"/>
    <w:rsid w:val="75334EC3"/>
    <w:rsid w:val="75E4177A"/>
    <w:rsid w:val="762322A2"/>
    <w:rsid w:val="76397D18"/>
    <w:rsid w:val="76C27941"/>
    <w:rsid w:val="772C33D8"/>
    <w:rsid w:val="787B63C5"/>
    <w:rsid w:val="78DE0702"/>
    <w:rsid w:val="79022643"/>
    <w:rsid w:val="792D6E29"/>
    <w:rsid w:val="79440EAD"/>
    <w:rsid w:val="798B2638"/>
    <w:rsid w:val="79F50C5F"/>
    <w:rsid w:val="7A0D129F"/>
    <w:rsid w:val="7A1A1600"/>
    <w:rsid w:val="7B293D2C"/>
    <w:rsid w:val="7BE75B20"/>
    <w:rsid w:val="7C442F72"/>
    <w:rsid w:val="7C5B702A"/>
    <w:rsid w:val="7C7E0232"/>
    <w:rsid w:val="7CE34539"/>
    <w:rsid w:val="7D8A7382"/>
    <w:rsid w:val="7DFC3B04"/>
    <w:rsid w:val="7E2766A8"/>
    <w:rsid w:val="7E3037AE"/>
    <w:rsid w:val="7EF156AE"/>
    <w:rsid w:val="7EF742CC"/>
    <w:rsid w:val="7F0709B3"/>
    <w:rsid w:val="7FA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480"/>
      <w:ind w:firstLine="1134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420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unhideWhenUsed/>
    <w:qFormat/>
    <w:uiPriority w:val="99"/>
    <w:pPr>
      <w:spacing w:after="120"/>
    </w:p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2"/>
    <w:basedOn w:val="1"/>
    <w:next w:val="1"/>
    <w:autoRedefine/>
    <w:qFormat/>
    <w:uiPriority w:val="0"/>
    <w:pPr>
      <w:ind w:left="420" w:leftChars="200"/>
    </w:pPr>
  </w:style>
  <w:style w:type="paragraph" w:customStyle="1" w:styleId="20">
    <w:name w:val="BodyText"/>
    <w:basedOn w:val="1"/>
    <w:autoRedefine/>
    <w:qFormat/>
    <w:uiPriority w:val="0"/>
    <w:pPr>
      <w:topLinePunct/>
      <w:spacing w:before="100" w:beforeAutospacing="1" w:after="120"/>
      <w:ind w:firstLine="200" w:firstLineChars="200"/>
    </w:pPr>
    <w:rPr>
      <w:kern w:val="32"/>
      <w:sz w:val="32"/>
      <w:szCs w:val="32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2024-04-13T14:33:00Z</dcterms:created>
  <dc:creator>张莉</dc:creator>
  <cp:lastModifiedBy>苏权</cp:lastModifiedBy>
  <cp:lastPrinted>2024-04-18T07:12:00Z</cp:lastPrinted>
  <dcterms:modified xsi:type="dcterms:W3CDTF">2024-04-29T08:17:48Z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BF18DB60E4C1480AAAA18B51BB5EDB42_13</vt:lpwstr>
  </property>
</Properties>
</file>